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ПРАВИТЕЛЬСТВО РОССИЙСКОЙ ФЕДЕРАЦИИ</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ПОСТАНОВЛЕНИЕ</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от 2 января 2015 г. N 2</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ОБ УСЛОВИЯХ</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ОПЛАТЫ ТРУДА РУКОВОДИТЕЛЕЙ ФЕДЕРАЛЬНЫХ ГОСУДАРСТВЕННЫХ</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УНИТАРНЫХ ПРЕДПРИЯТИЙ</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Правительство Российской Федерации постановляет:</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1. Утвердить прилагаемое Положение об условиях оплаты труда руководителей федеральных государственных унитарных предприятий (далее - Положение).</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2. Федеральным органам исполнительной власти и организациям, осуществляющим функции и полномочия учредителя по заключению и расторжению трудовых договоров с руководителями федеральных государственных унитарных предприятий:</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при заключении трудовых договоров с руководителями федеральных государственных унитарных предприятий руководствоваться Положением;</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xml:space="preserve">осуществить в 6-месячный срок </w:t>
      </w:r>
      <w:proofErr w:type="gramStart"/>
      <w:r w:rsidRPr="00BB01F0">
        <w:rPr>
          <w:rFonts w:ascii="Times New Roman" w:eastAsia="Times New Roman" w:hAnsi="Times New Roman" w:cs="Times New Roman"/>
          <w:sz w:val="24"/>
          <w:szCs w:val="24"/>
          <w:lang w:eastAsia="ru-RU"/>
        </w:rPr>
        <w:t>в установленном порядке мероприятия по внесению изменений в трудовые договоры с руководителями федеральных государственных унитарных предприятий с целью</w:t>
      </w:r>
      <w:proofErr w:type="gramEnd"/>
      <w:r w:rsidRPr="00BB01F0">
        <w:rPr>
          <w:rFonts w:ascii="Times New Roman" w:eastAsia="Times New Roman" w:hAnsi="Times New Roman" w:cs="Times New Roman"/>
          <w:sz w:val="24"/>
          <w:szCs w:val="24"/>
          <w:lang w:eastAsia="ru-RU"/>
        </w:rPr>
        <w:t xml:space="preserve"> их приведения в соответствие с Положением.</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3. Министерству экономического развития Российской Федерации в 3-месячный срок со дня вступления в силу настоящего постановления привести свои нормативные правовые акты в соответствие с Положением.</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4. Признать утратившим силу постановление Правительства Российской Федерации от 21 марта 1994 г. N 210 "Об условиях оплаты труда руководителей государственных предприятий при заключении с ними трудовых договоров (контрактов)" (Собрание актов Президента и Правительства Российской Федерации, 1994, N 13, ст. 991).</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Председатель Правительства</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Российской Федерации</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Д.МЕДВЕДЕВ</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Утверждено</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постановлением Правительства</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Российской Федерации</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от 2 января 2015 г. N 2</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ПОЛОЖЕНИЕ</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ОБ УСЛОВИЯХ ОПЛАТЫ ТРУДА РУКОВОДИТЕЛЕЙ ФЕДЕРАЛЬНЫХ</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ГОСУДАРСТВЕННЫХ УНИТАРНЫХ ПРЕДПРИЯТИЙ</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xml:space="preserve">1. Настоящее Положение </w:t>
      </w:r>
      <w:proofErr w:type="gramStart"/>
      <w:r w:rsidRPr="00BB01F0">
        <w:rPr>
          <w:rFonts w:ascii="Times New Roman" w:eastAsia="Times New Roman" w:hAnsi="Times New Roman" w:cs="Times New Roman"/>
          <w:sz w:val="24"/>
          <w:szCs w:val="24"/>
          <w:lang w:eastAsia="ru-RU"/>
        </w:rPr>
        <w:t>устанавливает условия</w:t>
      </w:r>
      <w:proofErr w:type="gramEnd"/>
      <w:r w:rsidRPr="00BB01F0">
        <w:rPr>
          <w:rFonts w:ascii="Times New Roman" w:eastAsia="Times New Roman" w:hAnsi="Times New Roman" w:cs="Times New Roman"/>
          <w:sz w:val="24"/>
          <w:szCs w:val="24"/>
          <w:lang w:eastAsia="ru-RU"/>
        </w:rPr>
        <w:t xml:space="preserve"> оплаты труда руководителей федеральных государственных унитарных предприятий (далее - предприятия) при заключении с ними трудовых договоров, а также предельный уровень соотношения средней заработной платы руководителей, заместителей руководителей и главных бухгалтеров предприятий и средней заработной платы работников списочного состава предприятий.</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lastRenderedPageBreak/>
        <w:t>2. Оплата труда руководителей предприятий включает должностной оклад, выплаты компенсационного и стимулирующего характера.</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3. Размер должностного оклада руководителя предприятия определяется федеральным органом исполнительной власти либо организацией, осуществляющей функции и полномочия учредителя по заключению и расторжению трудового договора с руководителем предприятия (далее - учредитель), в зависимости от сложности труда, масштаба управления и особенностей деятельности и значимости предприятия.</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4. Выплаты компенсационного характера устанавливаются для руководителей предприятий в порядке и размерах, предусмотренных Трудовым кодексом Российской Федерации и иными нормативными правовыми актами Российской Федерации, содержащими нормы трудового права.</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5. Для поощрения руководителей предприятий устанавливаются выплаты стимулирующего характера, которые осуществляются по результатам достижения предприятием показателей экономической эффективности его деятельности, утвержденных учредителем, за соответствующий период с учетом личного вклада руководителя предприятия в осуществление основных задач и функций, определенных уставом предприятия.</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xml:space="preserve">Размер и периодичность выплат стимулирующего характера определяются учредителем с учетом </w:t>
      </w:r>
      <w:proofErr w:type="gramStart"/>
      <w:r w:rsidRPr="00BB01F0">
        <w:rPr>
          <w:rFonts w:ascii="Times New Roman" w:eastAsia="Times New Roman" w:hAnsi="Times New Roman" w:cs="Times New Roman"/>
          <w:sz w:val="24"/>
          <w:szCs w:val="24"/>
          <w:lang w:eastAsia="ru-RU"/>
        </w:rPr>
        <w:t>достижения показателей экономической эффективности деятельности предприятия</w:t>
      </w:r>
      <w:proofErr w:type="gramEnd"/>
      <w:r w:rsidRPr="00BB01F0">
        <w:rPr>
          <w:rFonts w:ascii="Times New Roman" w:eastAsia="Times New Roman" w:hAnsi="Times New Roman" w:cs="Times New Roman"/>
          <w:sz w:val="24"/>
          <w:szCs w:val="24"/>
          <w:lang w:eastAsia="ru-RU"/>
        </w:rPr>
        <w:t>.</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6. Предельный уровень соотношения средней заработной платы руководителей, их заместителей и главных бухгалтеров предприятий и средней заработной платы работников списочного состава (без учета руководителя, заместителей руководителя и главного бухгалтера) предприятий устанавливается учредителем в кратности от 1 до 8.</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Соотношение средней заработной платы руководителей, их заместителей и главных бухгалтеров предприятий и средней заработной платы работников списочного состава предприятий рассчитывается за календарный год. Средняя заработная плата на предприятии рассчитывается путем деления фонда начисленной заработной платы работников списочного состава (без учета руководителя, заместителей руководителя и главного бухгалтера) на среднюю численность указанных работников за календарный год.</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В отношении предприятий, включенных в перечень, утверждаемый Правительством Российской Федерации, предельный уровень соотношения, устанавливаемый в соответствии с настоящим пунктом, может быть увеличен по решению учредителя.</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В указанный перечень включаются предприятия, осуществляющие производство продукции (работ, услуг), имеющей особые значимость, масштабность, уникальность, а также стратегическое значение.</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7. Для предприятий, подведомственных Управлению делами Президента Российской Федерации, предельный уровень соотношения средней заработной платы руководителей, их заместителей и главных бухгалтеров предприятий и средней заработной платы работников списочного состава предприятий устанавливается Управлением делами Президента Российской Федерации.</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8. При возложении обязанностей руководителя предприятия на заместителя руководителя или иного работника этого предприятия размер доплаты устанавливается по соглашению сторон трудового договора.</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w:t>
      </w:r>
    </w:p>
    <w:p w:rsidR="00BB01F0" w:rsidRPr="00BB01F0" w:rsidRDefault="00BB01F0" w:rsidP="00BB01F0">
      <w:pPr>
        <w:spacing w:after="0" w:line="240" w:lineRule="auto"/>
        <w:ind w:firstLine="547"/>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w:t>
      </w:r>
    </w:p>
    <w:p w:rsidR="00BB01F0" w:rsidRPr="00BB01F0" w:rsidRDefault="00BB01F0" w:rsidP="00BB01F0">
      <w:pPr>
        <w:spacing w:after="0" w:line="240" w:lineRule="auto"/>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pict>
          <v:rect id="_x0000_i1025" style="width:0;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4677"/>
        <w:gridCol w:w="4678"/>
      </w:tblGrid>
      <w:tr w:rsidR="00BB01F0" w:rsidRPr="00BB01F0" w:rsidTr="00BB01F0">
        <w:trPr>
          <w:trHeight w:val="900"/>
          <w:tblCellSpacing w:w="0" w:type="dxa"/>
        </w:trPr>
        <w:tc>
          <w:tcPr>
            <w:tcW w:w="0" w:type="auto"/>
            <w:gridSpan w:val="2"/>
            <w:vAlign w:val="center"/>
            <w:hideMark/>
          </w:tcPr>
          <w:p w:rsidR="00BB01F0" w:rsidRPr="00BB01F0" w:rsidRDefault="00BB01F0" w:rsidP="00BB01F0">
            <w:pPr>
              <w:spacing w:after="0" w:line="240" w:lineRule="auto"/>
              <w:jc w:val="center"/>
              <w:rPr>
                <w:rFonts w:ascii="Times New Roman" w:eastAsia="Times New Roman" w:hAnsi="Times New Roman" w:cs="Times New Roman"/>
                <w:sz w:val="24"/>
                <w:szCs w:val="24"/>
                <w:lang w:eastAsia="ru-RU"/>
              </w:rPr>
            </w:pPr>
            <w:r w:rsidRPr="00BB01F0">
              <w:rPr>
                <w:rFonts w:ascii="Times New Roman" w:eastAsia="Times New Roman" w:hAnsi="Times New Roman" w:cs="Times New Roman"/>
                <w:sz w:val="24"/>
                <w:szCs w:val="24"/>
                <w:lang w:eastAsia="ru-RU"/>
              </w:rPr>
              <w:t xml:space="preserve">  </w:t>
            </w:r>
          </w:p>
        </w:tc>
      </w:tr>
      <w:tr w:rsidR="00BB01F0" w:rsidRPr="00BB01F0" w:rsidTr="00BB01F0">
        <w:trPr>
          <w:trHeight w:val="225"/>
          <w:tblCellSpacing w:w="0" w:type="dxa"/>
        </w:trPr>
        <w:tc>
          <w:tcPr>
            <w:tcW w:w="0" w:type="auto"/>
            <w:gridSpan w:val="2"/>
            <w:vAlign w:val="center"/>
            <w:hideMark/>
          </w:tcPr>
          <w:p w:rsidR="00BB01F0" w:rsidRPr="00BB01F0" w:rsidRDefault="00BB01F0" w:rsidP="00BB01F0">
            <w:pPr>
              <w:spacing w:after="0" w:line="240" w:lineRule="auto"/>
              <w:rPr>
                <w:rFonts w:ascii="Times New Roman" w:eastAsia="Times New Roman" w:hAnsi="Times New Roman" w:cs="Times New Roman"/>
                <w:sz w:val="2"/>
                <w:szCs w:val="2"/>
                <w:lang w:eastAsia="ru-RU"/>
              </w:rPr>
            </w:pPr>
            <w:r w:rsidRPr="00BB01F0">
              <w:rPr>
                <w:rFonts w:ascii="Times New Roman" w:eastAsia="Times New Roman" w:hAnsi="Times New Roman" w:cs="Times New Roman"/>
                <w:sz w:val="2"/>
                <w:szCs w:val="2"/>
                <w:lang w:eastAsia="ru-RU"/>
              </w:rPr>
              <w:t> </w:t>
            </w:r>
          </w:p>
        </w:tc>
      </w:tr>
      <w:tr w:rsidR="00BB01F0" w:rsidRPr="00BB01F0" w:rsidTr="00BB01F0">
        <w:trPr>
          <w:tblCellSpacing w:w="0" w:type="dxa"/>
        </w:trPr>
        <w:tc>
          <w:tcPr>
            <w:tcW w:w="2500" w:type="pct"/>
            <w:vAlign w:val="center"/>
            <w:hideMark/>
          </w:tcPr>
          <w:p w:rsidR="00BB01F0" w:rsidRPr="00BB01F0" w:rsidRDefault="00BB01F0" w:rsidP="00BB01F0">
            <w:pPr>
              <w:spacing w:after="0" w:line="240" w:lineRule="auto"/>
              <w:rPr>
                <w:rFonts w:ascii="Times New Roman" w:eastAsia="Times New Roman" w:hAnsi="Times New Roman" w:cs="Times New Roman"/>
                <w:sz w:val="20"/>
                <w:szCs w:val="20"/>
                <w:lang w:eastAsia="ru-RU"/>
              </w:rPr>
            </w:pPr>
            <w:bookmarkStart w:id="0" w:name="_GoBack"/>
            <w:bookmarkEnd w:id="0"/>
          </w:p>
        </w:tc>
        <w:tc>
          <w:tcPr>
            <w:tcW w:w="2500" w:type="pct"/>
            <w:vAlign w:val="center"/>
            <w:hideMark/>
          </w:tcPr>
          <w:p w:rsidR="00BB01F0" w:rsidRPr="00BB01F0" w:rsidRDefault="00BB01F0" w:rsidP="00BB01F0">
            <w:pPr>
              <w:spacing w:after="0" w:line="240" w:lineRule="auto"/>
              <w:jc w:val="right"/>
              <w:rPr>
                <w:rFonts w:ascii="Times New Roman" w:eastAsia="Times New Roman" w:hAnsi="Times New Roman" w:cs="Times New Roman"/>
                <w:sz w:val="24"/>
                <w:szCs w:val="24"/>
                <w:lang w:eastAsia="ru-RU"/>
              </w:rPr>
            </w:pPr>
          </w:p>
        </w:tc>
      </w:tr>
    </w:tbl>
    <w:p w:rsidR="000F0D19" w:rsidRDefault="000F0D19"/>
    <w:sectPr w:rsidR="000F0D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1F0"/>
    <w:rsid w:val="000F0D19"/>
    <w:rsid w:val="00BB01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
    <w:name w:val="blk"/>
    <w:basedOn w:val="a0"/>
    <w:rsid w:val="00BB01F0"/>
  </w:style>
  <w:style w:type="character" w:styleId="a3">
    <w:name w:val="Hyperlink"/>
    <w:basedOn w:val="a0"/>
    <w:uiPriority w:val="99"/>
    <w:semiHidden/>
    <w:unhideWhenUsed/>
    <w:rsid w:val="00BB01F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
    <w:name w:val="blk"/>
    <w:basedOn w:val="a0"/>
    <w:rsid w:val="00BB01F0"/>
  </w:style>
  <w:style w:type="character" w:styleId="a3">
    <w:name w:val="Hyperlink"/>
    <w:basedOn w:val="a0"/>
    <w:uiPriority w:val="99"/>
    <w:semiHidden/>
    <w:unhideWhenUsed/>
    <w:rsid w:val="00BB01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3175498">
      <w:bodyDiv w:val="1"/>
      <w:marLeft w:val="0"/>
      <w:marRight w:val="0"/>
      <w:marTop w:val="0"/>
      <w:marBottom w:val="0"/>
      <w:divBdr>
        <w:top w:val="none" w:sz="0" w:space="0" w:color="auto"/>
        <w:left w:val="none" w:sz="0" w:space="0" w:color="auto"/>
        <w:bottom w:val="none" w:sz="0" w:space="0" w:color="auto"/>
        <w:right w:val="none" w:sz="0" w:space="0" w:color="auto"/>
      </w:divBdr>
      <w:divsChild>
        <w:div w:id="536161285">
          <w:marLeft w:val="0"/>
          <w:marRight w:val="0"/>
          <w:marTop w:val="0"/>
          <w:marBottom w:val="0"/>
          <w:divBdr>
            <w:top w:val="none" w:sz="0" w:space="0" w:color="auto"/>
            <w:left w:val="none" w:sz="0" w:space="0" w:color="auto"/>
            <w:bottom w:val="none" w:sz="0" w:space="0" w:color="auto"/>
            <w:right w:val="none" w:sz="0" w:space="0" w:color="auto"/>
          </w:divBdr>
          <w:divsChild>
            <w:div w:id="738594562">
              <w:marLeft w:val="0"/>
              <w:marRight w:val="0"/>
              <w:marTop w:val="0"/>
              <w:marBottom w:val="0"/>
              <w:divBdr>
                <w:top w:val="none" w:sz="0" w:space="0" w:color="auto"/>
                <w:left w:val="none" w:sz="0" w:space="0" w:color="auto"/>
                <w:bottom w:val="none" w:sz="0" w:space="0" w:color="auto"/>
                <w:right w:val="none" w:sz="0" w:space="0" w:color="auto"/>
              </w:divBdr>
            </w:div>
            <w:div w:id="1367025586">
              <w:marLeft w:val="0"/>
              <w:marRight w:val="0"/>
              <w:marTop w:val="0"/>
              <w:marBottom w:val="0"/>
              <w:divBdr>
                <w:top w:val="none" w:sz="0" w:space="0" w:color="auto"/>
                <w:left w:val="none" w:sz="0" w:space="0" w:color="auto"/>
                <w:bottom w:val="none" w:sz="0" w:space="0" w:color="auto"/>
                <w:right w:val="none" w:sz="0" w:space="0" w:color="auto"/>
              </w:divBdr>
            </w:div>
            <w:div w:id="2023586853">
              <w:marLeft w:val="0"/>
              <w:marRight w:val="0"/>
              <w:marTop w:val="0"/>
              <w:marBottom w:val="0"/>
              <w:divBdr>
                <w:top w:val="none" w:sz="0" w:space="0" w:color="auto"/>
                <w:left w:val="none" w:sz="0" w:space="0" w:color="auto"/>
                <w:bottom w:val="none" w:sz="0" w:space="0" w:color="auto"/>
                <w:right w:val="none" w:sz="0" w:space="0" w:color="auto"/>
              </w:divBdr>
            </w:div>
            <w:div w:id="855388229">
              <w:marLeft w:val="0"/>
              <w:marRight w:val="0"/>
              <w:marTop w:val="0"/>
              <w:marBottom w:val="0"/>
              <w:divBdr>
                <w:top w:val="none" w:sz="0" w:space="0" w:color="auto"/>
                <w:left w:val="none" w:sz="0" w:space="0" w:color="auto"/>
                <w:bottom w:val="none" w:sz="0" w:space="0" w:color="auto"/>
                <w:right w:val="none" w:sz="0" w:space="0" w:color="auto"/>
              </w:divBdr>
            </w:div>
            <w:div w:id="1390568286">
              <w:marLeft w:val="0"/>
              <w:marRight w:val="0"/>
              <w:marTop w:val="0"/>
              <w:marBottom w:val="0"/>
              <w:divBdr>
                <w:top w:val="none" w:sz="0" w:space="0" w:color="auto"/>
                <w:left w:val="none" w:sz="0" w:space="0" w:color="auto"/>
                <w:bottom w:val="none" w:sz="0" w:space="0" w:color="auto"/>
                <w:right w:val="none" w:sz="0" w:space="0" w:color="auto"/>
              </w:divBdr>
            </w:div>
            <w:div w:id="623079390">
              <w:marLeft w:val="0"/>
              <w:marRight w:val="0"/>
              <w:marTop w:val="0"/>
              <w:marBottom w:val="0"/>
              <w:divBdr>
                <w:top w:val="none" w:sz="0" w:space="0" w:color="auto"/>
                <w:left w:val="none" w:sz="0" w:space="0" w:color="auto"/>
                <w:bottom w:val="none" w:sz="0" w:space="0" w:color="auto"/>
                <w:right w:val="none" w:sz="0" w:space="0" w:color="auto"/>
              </w:divBdr>
            </w:div>
            <w:div w:id="1010793370">
              <w:marLeft w:val="0"/>
              <w:marRight w:val="0"/>
              <w:marTop w:val="0"/>
              <w:marBottom w:val="0"/>
              <w:divBdr>
                <w:top w:val="none" w:sz="0" w:space="0" w:color="auto"/>
                <w:left w:val="none" w:sz="0" w:space="0" w:color="auto"/>
                <w:bottom w:val="none" w:sz="0" w:space="0" w:color="auto"/>
                <w:right w:val="none" w:sz="0" w:space="0" w:color="auto"/>
              </w:divBdr>
            </w:div>
            <w:div w:id="1931350986">
              <w:marLeft w:val="0"/>
              <w:marRight w:val="0"/>
              <w:marTop w:val="0"/>
              <w:marBottom w:val="0"/>
              <w:divBdr>
                <w:top w:val="none" w:sz="0" w:space="0" w:color="auto"/>
                <w:left w:val="none" w:sz="0" w:space="0" w:color="auto"/>
                <w:bottom w:val="none" w:sz="0" w:space="0" w:color="auto"/>
                <w:right w:val="none" w:sz="0" w:space="0" w:color="auto"/>
              </w:divBdr>
            </w:div>
            <w:div w:id="873081613">
              <w:marLeft w:val="0"/>
              <w:marRight w:val="0"/>
              <w:marTop w:val="0"/>
              <w:marBottom w:val="0"/>
              <w:divBdr>
                <w:top w:val="none" w:sz="0" w:space="0" w:color="auto"/>
                <w:left w:val="none" w:sz="0" w:space="0" w:color="auto"/>
                <w:bottom w:val="none" w:sz="0" w:space="0" w:color="auto"/>
                <w:right w:val="none" w:sz="0" w:space="0" w:color="auto"/>
              </w:divBdr>
            </w:div>
            <w:div w:id="869224489">
              <w:marLeft w:val="0"/>
              <w:marRight w:val="0"/>
              <w:marTop w:val="0"/>
              <w:marBottom w:val="0"/>
              <w:divBdr>
                <w:top w:val="none" w:sz="0" w:space="0" w:color="auto"/>
                <w:left w:val="none" w:sz="0" w:space="0" w:color="auto"/>
                <w:bottom w:val="none" w:sz="0" w:space="0" w:color="auto"/>
                <w:right w:val="none" w:sz="0" w:space="0" w:color="auto"/>
              </w:divBdr>
            </w:div>
            <w:div w:id="1344278240">
              <w:marLeft w:val="0"/>
              <w:marRight w:val="0"/>
              <w:marTop w:val="0"/>
              <w:marBottom w:val="0"/>
              <w:divBdr>
                <w:top w:val="none" w:sz="0" w:space="0" w:color="auto"/>
                <w:left w:val="none" w:sz="0" w:space="0" w:color="auto"/>
                <w:bottom w:val="none" w:sz="0" w:space="0" w:color="auto"/>
                <w:right w:val="none" w:sz="0" w:space="0" w:color="auto"/>
              </w:divBdr>
            </w:div>
            <w:div w:id="875237589">
              <w:marLeft w:val="0"/>
              <w:marRight w:val="0"/>
              <w:marTop w:val="0"/>
              <w:marBottom w:val="0"/>
              <w:divBdr>
                <w:top w:val="none" w:sz="0" w:space="0" w:color="auto"/>
                <w:left w:val="none" w:sz="0" w:space="0" w:color="auto"/>
                <w:bottom w:val="none" w:sz="0" w:space="0" w:color="auto"/>
                <w:right w:val="none" w:sz="0" w:space="0" w:color="auto"/>
              </w:divBdr>
            </w:div>
            <w:div w:id="998844418">
              <w:marLeft w:val="0"/>
              <w:marRight w:val="0"/>
              <w:marTop w:val="0"/>
              <w:marBottom w:val="0"/>
              <w:divBdr>
                <w:top w:val="none" w:sz="0" w:space="0" w:color="auto"/>
                <w:left w:val="none" w:sz="0" w:space="0" w:color="auto"/>
                <w:bottom w:val="none" w:sz="0" w:space="0" w:color="auto"/>
                <w:right w:val="none" w:sz="0" w:space="0" w:color="auto"/>
              </w:divBdr>
            </w:div>
            <w:div w:id="1934703653">
              <w:marLeft w:val="0"/>
              <w:marRight w:val="0"/>
              <w:marTop w:val="0"/>
              <w:marBottom w:val="0"/>
              <w:divBdr>
                <w:top w:val="none" w:sz="0" w:space="0" w:color="auto"/>
                <w:left w:val="none" w:sz="0" w:space="0" w:color="auto"/>
                <w:bottom w:val="none" w:sz="0" w:space="0" w:color="auto"/>
                <w:right w:val="none" w:sz="0" w:space="0" w:color="auto"/>
              </w:divBdr>
            </w:div>
            <w:div w:id="2018341778">
              <w:marLeft w:val="0"/>
              <w:marRight w:val="0"/>
              <w:marTop w:val="0"/>
              <w:marBottom w:val="0"/>
              <w:divBdr>
                <w:top w:val="none" w:sz="0" w:space="0" w:color="auto"/>
                <w:left w:val="none" w:sz="0" w:space="0" w:color="auto"/>
                <w:bottom w:val="none" w:sz="0" w:space="0" w:color="auto"/>
                <w:right w:val="none" w:sz="0" w:space="0" w:color="auto"/>
              </w:divBdr>
            </w:div>
            <w:div w:id="1192300395">
              <w:marLeft w:val="0"/>
              <w:marRight w:val="0"/>
              <w:marTop w:val="0"/>
              <w:marBottom w:val="0"/>
              <w:divBdr>
                <w:top w:val="none" w:sz="0" w:space="0" w:color="auto"/>
                <w:left w:val="none" w:sz="0" w:space="0" w:color="auto"/>
                <w:bottom w:val="none" w:sz="0" w:space="0" w:color="auto"/>
                <w:right w:val="none" w:sz="0" w:space="0" w:color="auto"/>
              </w:divBdr>
            </w:div>
            <w:div w:id="2040735286">
              <w:marLeft w:val="0"/>
              <w:marRight w:val="0"/>
              <w:marTop w:val="0"/>
              <w:marBottom w:val="0"/>
              <w:divBdr>
                <w:top w:val="none" w:sz="0" w:space="0" w:color="auto"/>
                <w:left w:val="none" w:sz="0" w:space="0" w:color="auto"/>
                <w:bottom w:val="none" w:sz="0" w:space="0" w:color="auto"/>
                <w:right w:val="none" w:sz="0" w:space="0" w:color="auto"/>
              </w:divBdr>
            </w:div>
            <w:div w:id="1954362644">
              <w:marLeft w:val="0"/>
              <w:marRight w:val="0"/>
              <w:marTop w:val="0"/>
              <w:marBottom w:val="0"/>
              <w:divBdr>
                <w:top w:val="none" w:sz="0" w:space="0" w:color="auto"/>
                <w:left w:val="none" w:sz="0" w:space="0" w:color="auto"/>
                <w:bottom w:val="none" w:sz="0" w:space="0" w:color="auto"/>
                <w:right w:val="none" w:sz="0" w:space="0" w:color="auto"/>
              </w:divBdr>
            </w:div>
            <w:div w:id="1775899508">
              <w:marLeft w:val="0"/>
              <w:marRight w:val="0"/>
              <w:marTop w:val="0"/>
              <w:marBottom w:val="0"/>
              <w:divBdr>
                <w:top w:val="none" w:sz="0" w:space="0" w:color="auto"/>
                <w:left w:val="none" w:sz="0" w:space="0" w:color="auto"/>
                <w:bottom w:val="none" w:sz="0" w:space="0" w:color="auto"/>
                <w:right w:val="none" w:sz="0" w:space="0" w:color="auto"/>
              </w:divBdr>
            </w:div>
            <w:div w:id="1600677135">
              <w:marLeft w:val="0"/>
              <w:marRight w:val="0"/>
              <w:marTop w:val="0"/>
              <w:marBottom w:val="0"/>
              <w:divBdr>
                <w:top w:val="none" w:sz="0" w:space="0" w:color="auto"/>
                <w:left w:val="none" w:sz="0" w:space="0" w:color="auto"/>
                <w:bottom w:val="none" w:sz="0" w:space="0" w:color="auto"/>
                <w:right w:val="none" w:sz="0" w:space="0" w:color="auto"/>
              </w:divBdr>
            </w:div>
            <w:div w:id="188030667">
              <w:marLeft w:val="0"/>
              <w:marRight w:val="0"/>
              <w:marTop w:val="0"/>
              <w:marBottom w:val="0"/>
              <w:divBdr>
                <w:top w:val="none" w:sz="0" w:space="0" w:color="auto"/>
                <w:left w:val="none" w:sz="0" w:space="0" w:color="auto"/>
                <w:bottom w:val="none" w:sz="0" w:space="0" w:color="auto"/>
                <w:right w:val="none" w:sz="0" w:space="0" w:color="auto"/>
              </w:divBdr>
            </w:div>
            <w:div w:id="1944796409">
              <w:marLeft w:val="0"/>
              <w:marRight w:val="0"/>
              <w:marTop w:val="0"/>
              <w:marBottom w:val="0"/>
              <w:divBdr>
                <w:top w:val="none" w:sz="0" w:space="0" w:color="auto"/>
                <w:left w:val="none" w:sz="0" w:space="0" w:color="auto"/>
                <w:bottom w:val="none" w:sz="0" w:space="0" w:color="auto"/>
                <w:right w:val="none" w:sz="0" w:space="0" w:color="auto"/>
              </w:divBdr>
            </w:div>
            <w:div w:id="1107507045">
              <w:marLeft w:val="0"/>
              <w:marRight w:val="0"/>
              <w:marTop w:val="0"/>
              <w:marBottom w:val="0"/>
              <w:divBdr>
                <w:top w:val="none" w:sz="0" w:space="0" w:color="auto"/>
                <w:left w:val="none" w:sz="0" w:space="0" w:color="auto"/>
                <w:bottom w:val="none" w:sz="0" w:space="0" w:color="auto"/>
                <w:right w:val="none" w:sz="0" w:space="0" w:color="auto"/>
              </w:divBdr>
            </w:div>
            <w:div w:id="813910306">
              <w:marLeft w:val="0"/>
              <w:marRight w:val="0"/>
              <w:marTop w:val="0"/>
              <w:marBottom w:val="0"/>
              <w:divBdr>
                <w:top w:val="none" w:sz="0" w:space="0" w:color="auto"/>
                <w:left w:val="none" w:sz="0" w:space="0" w:color="auto"/>
                <w:bottom w:val="none" w:sz="0" w:space="0" w:color="auto"/>
                <w:right w:val="none" w:sz="0" w:space="0" w:color="auto"/>
              </w:divBdr>
            </w:div>
            <w:div w:id="1109155794">
              <w:marLeft w:val="0"/>
              <w:marRight w:val="0"/>
              <w:marTop w:val="0"/>
              <w:marBottom w:val="0"/>
              <w:divBdr>
                <w:top w:val="none" w:sz="0" w:space="0" w:color="auto"/>
                <w:left w:val="none" w:sz="0" w:space="0" w:color="auto"/>
                <w:bottom w:val="none" w:sz="0" w:space="0" w:color="auto"/>
                <w:right w:val="none" w:sz="0" w:space="0" w:color="auto"/>
              </w:divBdr>
            </w:div>
            <w:div w:id="637226331">
              <w:marLeft w:val="0"/>
              <w:marRight w:val="0"/>
              <w:marTop w:val="0"/>
              <w:marBottom w:val="0"/>
              <w:divBdr>
                <w:top w:val="none" w:sz="0" w:space="0" w:color="auto"/>
                <w:left w:val="none" w:sz="0" w:space="0" w:color="auto"/>
                <w:bottom w:val="none" w:sz="0" w:space="0" w:color="auto"/>
                <w:right w:val="none" w:sz="0" w:space="0" w:color="auto"/>
              </w:divBdr>
            </w:div>
            <w:div w:id="829638860">
              <w:marLeft w:val="0"/>
              <w:marRight w:val="0"/>
              <w:marTop w:val="0"/>
              <w:marBottom w:val="0"/>
              <w:divBdr>
                <w:top w:val="none" w:sz="0" w:space="0" w:color="auto"/>
                <w:left w:val="none" w:sz="0" w:space="0" w:color="auto"/>
                <w:bottom w:val="none" w:sz="0" w:space="0" w:color="auto"/>
                <w:right w:val="none" w:sz="0" w:space="0" w:color="auto"/>
              </w:divBdr>
            </w:div>
            <w:div w:id="1696925052">
              <w:marLeft w:val="0"/>
              <w:marRight w:val="0"/>
              <w:marTop w:val="0"/>
              <w:marBottom w:val="0"/>
              <w:divBdr>
                <w:top w:val="none" w:sz="0" w:space="0" w:color="auto"/>
                <w:left w:val="none" w:sz="0" w:space="0" w:color="auto"/>
                <w:bottom w:val="none" w:sz="0" w:space="0" w:color="auto"/>
                <w:right w:val="none" w:sz="0" w:space="0" w:color="auto"/>
              </w:divBdr>
            </w:div>
            <w:div w:id="31809436">
              <w:marLeft w:val="0"/>
              <w:marRight w:val="0"/>
              <w:marTop w:val="0"/>
              <w:marBottom w:val="0"/>
              <w:divBdr>
                <w:top w:val="none" w:sz="0" w:space="0" w:color="auto"/>
                <w:left w:val="none" w:sz="0" w:space="0" w:color="auto"/>
                <w:bottom w:val="none" w:sz="0" w:space="0" w:color="auto"/>
                <w:right w:val="none" w:sz="0" w:space="0" w:color="auto"/>
              </w:divBdr>
            </w:div>
            <w:div w:id="302582423">
              <w:marLeft w:val="0"/>
              <w:marRight w:val="0"/>
              <w:marTop w:val="0"/>
              <w:marBottom w:val="0"/>
              <w:divBdr>
                <w:top w:val="none" w:sz="0" w:space="0" w:color="auto"/>
                <w:left w:val="none" w:sz="0" w:space="0" w:color="auto"/>
                <w:bottom w:val="none" w:sz="0" w:space="0" w:color="auto"/>
                <w:right w:val="none" w:sz="0" w:space="0" w:color="auto"/>
              </w:divBdr>
            </w:div>
            <w:div w:id="1305116487">
              <w:marLeft w:val="0"/>
              <w:marRight w:val="0"/>
              <w:marTop w:val="0"/>
              <w:marBottom w:val="0"/>
              <w:divBdr>
                <w:top w:val="none" w:sz="0" w:space="0" w:color="auto"/>
                <w:left w:val="none" w:sz="0" w:space="0" w:color="auto"/>
                <w:bottom w:val="none" w:sz="0" w:space="0" w:color="auto"/>
                <w:right w:val="none" w:sz="0" w:space="0" w:color="auto"/>
              </w:divBdr>
            </w:div>
            <w:div w:id="132405472">
              <w:marLeft w:val="0"/>
              <w:marRight w:val="0"/>
              <w:marTop w:val="0"/>
              <w:marBottom w:val="0"/>
              <w:divBdr>
                <w:top w:val="none" w:sz="0" w:space="0" w:color="auto"/>
                <w:left w:val="none" w:sz="0" w:space="0" w:color="auto"/>
                <w:bottom w:val="none" w:sz="0" w:space="0" w:color="auto"/>
                <w:right w:val="none" w:sz="0" w:space="0" w:color="auto"/>
              </w:divBdr>
            </w:div>
            <w:div w:id="890194823">
              <w:marLeft w:val="0"/>
              <w:marRight w:val="0"/>
              <w:marTop w:val="0"/>
              <w:marBottom w:val="0"/>
              <w:divBdr>
                <w:top w:val="none" w:sz="0" w:space="0" w:color="auto"/>
                <w:left w:val="none" w:sz="0" w:space="0" w:color="auto"/>
                <w:bottom w:val="none" w:sz="0" w:space="0" w:color="auto"/>
                <w:right w:val="none" w:sz="0" w:space="0" w:color="auto"/>
              </w:divBdr>
            </w:div>
            <w:div w:id="539896171">
              <w:marLeft w:val="0"/>
              <w:marRight w:val="0"/>
              <w:marTop w:val="0"/>
              <w:marBottom w:val="0"/>
              <w:divBdr>
                <w:top w:val="none" w:sz="0" w:space="0" w:color="auto"/>
                <w:left w:val="none" w:sz="0" w:space="0" w:color="auto"/>
                <w:bottom w:val="none" w:sz="0" w:space="0" w:color="auto"/>
                <w:right w:val="none" w:sz="0" w:space="0" w:color="auto"/>
              </w:divBdr>
            </w:div>
            <w:div w:id="2090346516">
              <w:marLeft w:val="0"/>
              <w:marRight w:val="0"/>
              <w:marTop w:val="0"/>
              <w:marBottom w:val="0"/>
              <w:divBdr>
                <w:top w:val="none" w:sz="0" w:space="0" w:color="auto"/>
                <w:left w:val="none" w:sz="0" w:space="0" w:color="auto"/>
                <w:bottom w:val="none" w:sz="0" w:space="0" w:color="auto"/>
                <w:right w:val="none" w:sz="0" w:space="0" w:color="auto"/>
              </w:divBdr>
            </w:div>
            <w:div w:id="497382350">
              <w:marLeft w:val="0"/>
              <w:marRight w:val="0"/>
              <w:marTop w:val="0"/>
              <w:marBottom w:val="0"/>
              <w:divBdr>
                <w:top w:val="none" w:sz="0" w:space="0" w:color="auto"/>
                <w:left w:val="none" w:sz="0" w:space="0" w:color="auto"/>
                <w:bottom w:val="none" w:sz="0" w:space="0" w:color="auto"/>
                <w:right w:val="none" w:sz="0" w:space="0" w:color="auto"/>
              </w:divBdr>
            </w:div>
            <w:div w:id="1199201711">
              <w:marLeft w:val="0"/>
              <w:marRight w:val="0"/>
              <w:marTop w:val="0"/>
              <w:marBottom w:val="0"/>
              <w:divBdr>
                <w:top w:val="none" w:sz="0" w:space="0" w:color="auto"/>
                <w:left w:val="none" w:sz="0" w:space="0" w:color="auto"/>
                <w:bottom w:val="none" w:sz="0" w:space="0" w:color="auto"/>
                <w:right w:val="none" w:sz="0" w:space="0" w:color="auto"/>
              </w:divBdr>
            </w:div>
            <w:div w:id="967080584">
              <w:marLeft w:val="0"/>
              <w:marRight w:val="0"/>
              <w:marTop w:val="0"/>
              <w:marBottom w:val="0"/>
              <w:divBdr>
                <w:top w:val="none" w:sz="0" w:space="0" w:color="auto"/>
                <w:left w:val="none" w:sz="0" w:space="0" w:color="auto"/>
                <w:bottom w:val="none" w:sz="0" w:space="0" w:color="auto"/>
                <w:right w:val="none" w:sz="0" w:space="0" w:color="auto"/>
              </w:divBdr>
            </w:div>
            <w:div w:id="1875465252">
              <w:marLeft w:val="0"/>
              <w:marRight w:val="0"/>
              <w:marTop w:val="0"/>
              <w:marBottom w:val="0"/>
              <w:divBdr>
                <w:top w:val="none" w:sz="0" w:space="0" w:color="auto"/>
                <w:left w:val="none" w:sz="0" w:space="0" w:color="auto"/>
                <w:bottom w:val="none" w:sz="0" w:space="0" w:color="auto"/>
                <w:right w:val="none" w:sz="0" w:space="0" w:color="auto"/>
              </w:divBdr>
            </w:div>
            <w:div w:id="132528095">
              <w:marLeft w:val="0"/>
              <w:marRight w:val="0"/>
              <w:marTop w:val="0"/>
              <w:marBottom w:val="0"/>
              <w:divBdr>
                <w:top w:val="none" w:sz="0" w:space="0" w:color="auto"/>
                <w:left w:val="none" w:sz="0" w:space="0" w:color="auto"/>
                <w:bottom w:val="none" w:sz="0" w:space="0" w:color="auto"/>
                <w:right w:val="none" w:sz="0" w:space="0" w:color="auto"/>
              </w:divBdr>
            </w:div>
            <w:div w:id="240259045">
              <w:marLeft w:val="0"/>
              <w:marRight w:val="0"/>
              <w:marTop w:val="0"/>
              <w:marBottom w:val="0"/>
              <w:divBdr>
                <w:top w:val="none" w:sz="0" w:space="0" w:color="auto"/>
                <w:left w:val="none" w:sz="0" w:space="0" w:color="auto"/>
                <w:bottom w:val="none" w:sz="0" w:space="0" w:color="auto"/>
                <w:right w:val="none" w:sz="0" w:space="0" w:color="auto"/>
              </w:divBdr>
            </w:div>
            <w:div w:id="1525442281">
              <w:marLeft w:val="0"/>
              <w:marRight w:val="0"/>
              <w:marTop w:val="0"/>
              <w:marBottom w:val="0"/>
              <w:divBdr>
                <w:top w:val="none" w:sz="0" w:space="0" w:color="auto"/>
                <w:left w:val="none" w:sz="0" w:space="0" w:color="auto"/>
                <w:bottom w:val="none" w:sz="0" w:space="0" w:color="auto"/>
                <w:right w:val="none" w:sz="0" w:space="0" w:color="auto"/>
              </w:divBdr>
            </w:div>
            <w:div w:id="239414533">
              <w:marLeft w:val="0"/>
              <w:marRight w:val="0"/>
              <w:marTop w:val="0"/>
              <w:marBottom w:val="0"/>
              <w:divBdr>
                <w:top w:val="none" w:sz="0" w:space="0" w:color="auto"/>
                <w:left w:val="none" w:sz="0" w:space="0" w:color="auto"/>
                <w:bottom w:val="none" w:sz="0" w:space="0" w:color="auto"/>
                <w:right w:val="none" w:sz="0" w:space="0" w:color="auto"/>
              </w:divBdr>
            </w:div>
            <w:div w:id="940994991">
              <w:marLeft w:val="0"/>
              <w:marRight w:val="0"/>
              <w:marTop w:val="0"/>
              <w:marBottom w:val="0"/>
              <w:divBdr>
                <w:top w:val="none" w:sz="0" w:space="0" w:color="auto"/>
                <w:left w:val="none" w:sz="0" w:space="0" w:color="auto"/>
                <w:bottom w:val="none" w:sz="0" w:space="0" w:color="auto"/>
                <w:right w:val="none" w:sz="0" w:space="0" w:color="auto"/>
              </w:divBdr>
            </w:div>
            <w:div w:id="2126580598">
              <w:marLeft w:val="0"/>
              <w:marRight w:val="0"/>
              <w:marTop w:val="0"/>
              <w:marBottom w:val="0"/>
              <w:divBdr>
                <w:top w:val="none" w:sz="0" w:space="0" w:color="auto"/>
                <w:left w:val="none" w:sz="0" w:space="0" w:color="auto"/>
                <w:bottom w:val="none" w:sz="0" w:space="0" w:color="auto"/>
                <w:right w:val="none" w:sz="0" w:space="0" w:color="auto"/>
              </w:divBdr>
            </w:div>
            <w:div w:id="781454643">
              <w:marLeft w:val="0"/>
              <w:marRight w:val="0"/>
              <w:marTop w:val="0"/>
              <w:marBottom w:val="0"/>
              <w:divBdr>
                <w:top w:val="none" w:sz="0" w:space="0" w:color="auto"/>
                <w:left w:val="none" w:sz="0" w:space="0" w:color="auto"/>
                <w:bottom w:val="none" w:sz="0" w:space="0" w:color="auto"/>
                <w:right w:val="none" w:sz="0" w:space="0" w:color="auto"/>
              </w:divBdr>
            </w:div>
            <w:div w:id="1766919201">
              <w:marLeft w:val="0"/>
              <w:marRight w:val="0"/>
              <w:marTop w:val="0"/>
              <w:marBottom w:val="0"/>
              <w:divBdr>
                <w:top w:val="none" w:sz="0" w:space="0" w:color="auto"/>
                <w:left w:val="none" w:sz="0" w:space="0" w:color="auto"/>
                <w:bottom w:val="none" w:sz="0" w:space="0" w:color="auto"/>
                <w:right w:val="none" w:sz="0" w:space="0" w:color="auto"/>
              </w:divBdr>
            </w:div>
            <w:div w:id="1278025655">
              <w:marLeft w:val="0"/>
              <w:marRight w:val="0"/>
              <w:marTop w:val="0"/>
              <w:marBottom w:val="0"/>
              <w:divBdr>
                <w:top w:val="none" w:sz="0" w:space="0" w:color="auto"/>
                <w:left w:val="none" w:sz="0" w:space="0" w:color="auto"/>
                <w:bottom w:val="none" w:sz="0" w:space="0" w:color="auto"/>
                <w:right w:val="none" w:sz="0" w:space="0" w:color="auto"/>
              </w:divBdr>
            </w:div>
            <w:div w:id="1146429797">
              <w:marLeft w:val="0"/>
              <w:marRight w:val="0"/>
              <w:marTop w:val="0"/>
              <w:marBottom w:val="0"/>
              <w:divBdr>
                <w:top w:val="none" w:sz="0" w:space="0" w:color="auto"/>
                <w:left w:val="none" w:sz="0" w:space="0" w:color="auto"/>
                <w:bottom w:val="none" w:sz="0" w:space="0" w:color="auto"/>
                <w:right w:val="none" w:sz="0" w:space="0" w:color="auto"/>
              </w:divBdr>
            </w:div>
          </w:divsChild>
        </w:div>
        <w:div w:id="1912108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774</Words>
  <Characters>4415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Рожковская</dc:creator>
  <cp:lastModifiedBy>Рожковская</cp:lastModifiedBy>
  <cp:revision>1</cp:revision>
  <dcterms:created xsi:type="dcterms:W3CDTF">2016-08-10T06:53:00Z</dcterms:created>
  <dcterms:modified xsi:type="dcterms:W3CDTF">2016-08-10T06:54:00Z</dcterms:modified>
</cp:coreProperties>
</file>